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6631" w14:textId="77777777" w:rsidR="001C2201" w:rsidRDefault="00D76EC7" w:rsidP="00D76EC7">
      <w:pPr>
        <w:rPr>
          <w:b/>
          <w:bCs/>
        </w:rPr>
      </w:pPr>
      <w:r>
        <w:rPr>
          <w:b/>
          <w:bCs/>
        </w:rPr>
        <w:t>Community Infrastructure Levy</w:t>
      </w:r>
    </w:p>
    <w:p w14:paraId="2375479B" w14:textId="1BB0C60D" w:rsidR="001C2201" w:rsidRPr="00D76EC7" w:rsidRDefault="001C2201" w:rsidP="001C2201">
      <w:pPr>
        <w:rPr>
          <w:b/>
          <w:bCs/>
          <w:sz w:val="32"/>
          <w:szCs w:val="32"/>
        </w:rPr>
      </w:pPr>
      <w:r w:rsidRPr="00D76EC7">
        <w:rPr>
          <w:b/>
          <w:bCs/>
          <w:sz w:val="32"/>
          <w:szCs w:val="32"/>
        </w:rPr>
        <w:t xml:space="preserve">Regulation 62A Report for </w:t>
      </w:r>
      <w:r w:rsidR="000D1607">
        <w:rPr>
          <w:b/>
          <w:bCs/>
          <w:sz w:val="32"/>
          <w:szCs w:val="32"/>
        </w:rPr>
        <w:t>Yardley Gobion Parish Council</w:t>
      </w:r>
    </w:p>
    <w:p w14:paraId="6548C0F3" w14:textId="6534B283" w:rsidR="001C2201" w:rsidRPr="00D76EC7" w:rsidRDefault="001C2201" w:rsidP="001C2201">
      <w:r w:rsidRPr="00D76EC7">
        <w:rPr>
          <w:b/>
          <w:bCs/>
        </w:rPr>
        <w:t>Reporting Year: e.g. 1 April 2024 – 31 March 2025</w:t>
      </w:r>
    </w:p>
    <w:p w14:paraId="55CC8E20" w14:textId="77777777" w:rsidR="001C2201" w:rsidRDefault="001C2201" w:rsidP="00D76EC7">
      <w:pPr>
        <w:rPr>
          <w:b/>
          <w:bCs/>
        </w:rPr>
      </w:pPr>
    </w:p>
    <w:tbl>
      <w:tblPr>
        <w:tblStyle w:val="TableGrid"/>
        <w:tblW w:w="0" w:type="auto"/>
        <w:tblLook w:val="04A0" w:firstRow="1" w:lastRow="0" w:firstColumn="1" w:lastColumn="0" w:noHBand="0" w:noVBand="1"/>
      </w:tblPr>
      <w:tblGrid>
        <w:gridCol w:w="5240"/>
        <w:gridCol w:w="3776"/>
      </w:tblGrid>
      <w:tr w:rsidR="001C2201" w14:paraId="0EBEEFB2" w14:textId="77777777" w:rsidTr="00CC3896">
        <w:tc>
          <w:tcPr>
            <w:tcW w:w="5240" w:type="dxa"/>
          </w:tcPr>
          <w:p w14:paraId="61B7D352" w14:textId="6A153864" w:rsidR="001C2201" w:rsidRDefault="001C2201" w:rsidP="00D76EC7">
            <w:pPr>
              <w:rPr>
                <w:b/>
                <w:bCs/>
              </w:rPr>
            </w:pPr>
            <w:r w:rsidRPr="00D76EC7">
              <w:rPr>
                <w:b/>
                <w:bCs/>
              </w:rPr>
              <w:t>Description</w:t>
            </w:r>
          </w:p>
        </w:tc>
        <w:tc>
          <w:tcPr>
            <w:tcW w:w="3776" w:type="dxa"/>
          </w:tcPr>
          <w:p w14:paraId="6432DFC2" w14:textId="72B39153" w:rsidR="001C2201" w:rsidRDefault="001C2201" w:rsidP="00D76EC7">
            <w:pPr>
              <w:rPr>
                <w:b/>
                <w:bCs/>
              </w:rPr>
            </w:pPr>
            <w:r w:rsidRPr="00D76EC7">
              <w:rPr>
                <w:b/>
                <w:bCs/>
              </w:rPr>
              <w:t>Amount (£)</w:t>
            </w:r>
          </w:p>
        </w:tc>
      </w:tr>
      <w:tr w:rsidR="001C2201" w14:paraId="671FC132" w14:textId="77777777" w:rsidTr="00CC3896">
        <w:tc>
          <w:tcPr>
            <w:tcW w:w="5240" w:type="dxa"/>
            <w:vAlign w:val="center"/>
          </w:tcPr>
          <w:p w14:paraId="4DFE2773" w14:textId="79E16949" w:rsidR="001C2201" w:rsidRDefault="001C2201" w:rsidP="001C2201">
            <w:pPr>
              <w:rPr>
                <w:b/>
                <w:bCs/>
              </w:rPr>
            </w:pPr>
            <w:r w:rsidRPr="00D76EC7">
              <w:t>Total CIL receipts for the reported year</w:t>
            </w:r>
          </w:p>
        </w:tc>
        <w:tc>
          <w:tcPr>
            <w:tcW w:w="3776" w:type="dxa"/>
            <w:vAlign w:val="center"/>
          </w:tcPr>
          <w:p w14:paraId="2A3C51ED" w14:textId="19C44F02" w:rsidR="001C2201" w:rsidRDefault="000D1607" w:rsidP="001C2201">
            <w:pPr>
              <w:rPr>
                <w:b/>
                <w:bCs/>
              </w:rPr>
            </w:pPr>
            <w:r>
              <w:t>£24,196.56</w:t>
            </w:r>
          </w:p>
        </w:tc>
      </w:tr>
      <w:tr w:rsidR="001C2201" w14:paraId="0766F7EF" w14:textId="77777777" w:rsidTr="00CC3896">
        <w:tc>
          <w:tcPr>
            <w:tcW w:w="5240" w:type="dxa"/>
          </w:tcPr>
          <w:p w14:paraId="48437BAC" w14:textId="7511FF55" w:rsidR="001C2201" w:rsidRDefault="001C2201" w:rsidP="001C2201">
            <w:pPr>
              <w:rPr>
                <w:b/>
                <w:bCs/>
              </w:rPr>
            </w:pPr>
            <w:r w:rsidRPr="00D76EC7">
              <w:t>Total CIL expenditure for the reported year</w:t>
            </w:r>
          </w:p>
        </w:tc>
        <w:tc>
          <w:tcPr>
            <w:tcW w:w="3776" w:type="dxa"/>
            <w:vAlign w:val="center"/>
          </w:tcPr>
          <w:p w14:paraId="5FEC4D86" w14:textId="77E39C51" w:rsidR="001C2201" w:rsidRDefault="000D1607" w:rsidP="001C2201">
            <w:pPr>
              <w:rPr>
                <w:b/>
                <w:bCs/>
              </w:rPr>
            </w:pPr>
            <w:r>
              <w:t>£2,346.00</w:t>
            </w:r>
          </w:p>
        </w:tc>
      </w:tr>
      <w:tr w:rsidR="001C2201" w14:paraId="40F7459B" w14:textId="77777777" w:rsidTr="00CC3896">
        <w:tc>
          <w:tcPr>
            <w:tcW w:w="5240" w:type="dxa"/>
          </w:tcPr>
          <w:p w14:paraId="14422EAB" w14:textId="6C1BD444" w:rsidR="001C2201" w:rsidRDefault="001C2201" w:rsidP="001C2201">
            <w:pPr>
              <w:rPr>
                <w:b/>
                <w:bCs/>
              </w:rPr>
            </w:pPr>
            <w:r w:rsidRPr="00D76EC7">
              <w:t>Summary of CIL expenditure items (see breakdown below)</w:t>
            </w:r>
          </w:p>
        </w:tc>
        <w:tc>
          <w:tcPr>
            <w:tcW w:w="3776" w:type="dxa"/>
            <w:vAlign w:val="center"/>
          </w:tcPr>
          <w:p w14:paraId="4A051B5B" w14:textId="3E31E70C" w:rsidR="001C2201" w:rsidRDefault="000D1607" w:rsidP="001C2201">
            <w:pPr>
              <w:rPr>
                <w:b/>
                <w:bCs/>
              </w:rPr>
            </w:pPr>
            <w:r>
              <w:t>£2,346.00</w:t>
            </w:r>
          </w:p>
        </w:tc>
      </w:tr>
      <w:tr w:rsidR="001C2201" w14:paraId="0FD51610" w14:textId="77777777" w:rsidTr="00CC3896">
        <w:tc>
          <w:tcPr>
            <w:tcW w:w="5240" w:type="dxa"/>
          </w:tcPr>
          <w:p w14:paraId="69361316" w14:textId="4A4020BC" w:rsidR="001C2201" w:rsidRDefault="001C2201" w:rsidP="001C2201">
            <w:pPr>
              <w:rPr>
                <w:b/>
                <w:bCs/>
              </w:rPr>
            </w:pPr>
            <w:r w:rsidRPr="00D76EC7">
              <w:t>Total CIL retained at year end (unspent)</w:t>
            </w:r>
          </w:p>
        </w:tc>
        <w:tc>
          <w:tcPr>
            <w:tcW w:w="3776" w:type="dxa"/>
            <w:vAlign w:val="center"/>
          </w:tcPr>
          <w:p w14:paraId="5A8733A5" w14:textId="1FE6F8AB" w:rsidR="001C2201" w:rsidRDefault="000D1607" w:rsidP="001C2201">
            <w:pPr>
              <w:rPr>
                <w:b/>
                <w:bCs/>
              </w:rPr>
            </w:pPr>
            <w:r>
              <w:t>£21,850.56</w:t>
            </w:r>
          </w:p>
        </w:tc>
      </w:tr>
    </w:tbl>
    <w:p w14:paraId="60FB3380" w14:textId="77777777" w:rsidR="001C2201" w:rsidRDefault="001C2201" w:rsidP="001C2201">
      <w:pPr>
        <w:rPr>
          <w:b/>
          <w:bCs/>
        </w:rPr>
      </w:pPr>
    </w:p>
    <w:p w14:paraId="5C9E6970" w14:textId="443FDC82" w:rsidR="001C2201" w:rsidRPr="00D76EC7" w:rsidRDefault="001C2201" w:rsidP="001C2201">
      <w:pPr>
        <w:rPr>
          <w:b/>
          <w:bCs/>
        </w:rPr>
      </w:pPr>
      <w:r w:rsidRPr="00D76EC7">
        <w:rPr>
          <w:b/>
          <w:bCs/>
        </w:rPr>
        <w:t>Breakdown of CIL Expenditure</w:t>
      </w:r>
    </w:p>
    <w:tbl>
      <w:tblPr>
        <w:tblStyle w:val="TableGrid"/>
        <w:tblW w:w="0" w:type="auto"/>
        <w:tblLook w:val="04A0" w:firstRow="1" w:lastRow="0" w:firstColumn="1" w:lastColumn="0" w:noHBand="0" w:noVBand="1"/>
      </w:tblPr>
      <w:tblGrid>
        <w:gridCol w:w="2254"/>
        <w:gridCol w:w="2844"/>
        <w:gridCol w:w="2127"/>
        <w:gridCol w:w="1791"/>
      </w:tblGrid>
      <w:tr w:rsidR="001C2201" w14:paraId="54813C80" w14:textId="77777777" w:rsidTr="00CC3896">
        <w:tc>
          <w:tcPr>
            <w:tcW w:w="2254" w:type="dxa"/>
          </w:tcPr>
          <w:p w14:paraId="5849A958" w14:textId="7647920A" w:rsidR="001C2201" w:rsidRDefault="001C2201" w:rsidP="001C2201">
            <w:r w:rsidRPr="00D76EC7">
              <w:rPr>
                <w:b/>
                <w:bCs/>
              </w:rPr>
              <w:t>Project/Item</w:t>
            </w:r>
          </w:p>
        </w:tc>
        <w:tc>
          <w:tcPr>
            <w:tcW w:w="2844" w:type="dxa"/>
            <w:vAlign w:val="center"/>
          </w:tcPr>
          <w:p w14:paraId="1CF2860A" w14:textId="4B1C030A" w:rsidR="001C2201" w:rsidRDefault="001C2201" w:rsidP="001C2201">
            <w:r w:rsidRPr="00D76EC7">
              <w:rPr>
                <w:b/>
                <w:bCs/>
              </w:rPr>
              <w:t>Description</w:t>
            </w:r>
          </w:p>
        </w:tc>
        <w:tc>
          <w:tcPr>
            <w:tcW w:w="2127" w:type="dxa"/>
          </w:tcPr>
          <w:p w14:paraId="1F0CE4C8" w14:textId="16BAE223" w:rsidR="001C2201" w:rsidRDefault="001C2201" w:rsidP="001C2201">
            <w:r w:rsidRPr="00D76EC7">
              <w:rPr>
                <w:b/>
                <w:bCs/>
              </w:rPr>
              <w:t>Amount Spent (£)</w:t>
            </w:r>
          </w:p>
        </w:tc>
        <w:tc>
          <w:tcPr>
            <w:tcW w:w="1791" w:type="dxa"/>
            <w:vAlign w:val="center"/>
          </w:tcPr>
          <w:p w14:paraId="4CB19A82" w14:textId="5AD5431D" w:rsidR="001C2201" w:rsidRDefault="001C2201" w:rsidP="001C2201">
            <w:r w:rsidRPr="00D76EC7">
              <w:rPr>
                <w:b/>
                <w:bCs/>
              </w:rPr>
              <w:t>Date</w:t>
            </w:r>
          </w:p>
        </w:tc>
      </w:tr>
      <w:tr w:rsidR="001C2201" w14:paraId="477661EF" w14:textId="77777777" w:rsidTr="00CC3896">
        <w:tc>
          <w:tcPr>
            <w:tcW w:w="2254" w:type="dxa"/>
          </w:tcPr>
          <w:p w14:paraId="7CFADB14" w14:textId="076B1DE9" w:rsidR="001C2201" w:rsidRDefault="000D1607" w:rsidP="000D1607">
            <w:r>
              <w:t xml:space="preserve">School Lane Sports Field, Yardley Gobion </w:t>
            </w:r>
          </w:p>
        </w:tc>
        <w:tc>
          <w:tcPr>
            <w:tcW w:w="2844" w:type="dxa"/>
            <w:vAlign w:val="center"/>
          </w:tcPr>
          <w:p w14:paraId="3EB393A3" w14:textId="3DA652C3" w:rsidR="001C2201" w:rsidRDefault="000D1607" w:rsidP="001C2201">
            <w:r>
              <w:t>Improvements to playing surface in conjunction with The Football Foundation</w:t>
            </w:r>
          </w:p>
        </w:tc>
        <w:tc>
          <w:tcPr>
            <w:tcW w:w="2127" w:type="dxa"/>
            <w:vAlign w:val="center"/>
          </w:tcPr>
          <w:p w14:paraId="0A33BA59" w14:textId="1567717A" w:rsidR="001C2201" w:rsidRDefault="000D1607" w:rsidP="001C2201">
            <w:r>
              <w:t>£2,346.00</w:t>
            </w:r>
          </w:p>
        </w:tc>
        <w:tc>
          <w:tcPr>
            <w:tcW w:w="1791" w:type="dxa"/>
            <w:vAlign w:val="center"/>
          </w:tcPr>
          <w:p w14:paraId="7D808B8B" w14:textId="0AA987E8" w:rsidR="001C2201" w:rsidRDefault="000D1607" w:rsidP="001C2201">
            <w:r>
              <w:t>November 2024</w:t>
            </w:r>
          </w:p>
        </w:tc>
      </w:tr>
      <w:tr w:rsidR="001C2201" w14:paraId="048F6577" w14:textId="77777777" w:rsidTr="00CC3896">
        <w:tc>
          <w:tcPr>
            <w:tcW w:w="2254" w:type="dxa"/>
          </w:tcPr>
          <w:p w14:paraId="2397F334" w14:textId="7E82C10E" w:rsidR="001C2201" w:rsidRDefault="001C2201" w:rsidP="001C2201"/>
        </w:tc>
        <w:tc>
          <w:tcPr>
            <w:tcW w:w="2844" w:type="dxa"/>
            <w:vAlign w:val="center"/>
          </w:tcPr>
          <w:p w14:paraId="1759E284" w14:textId="1807CE51" w:rsidR="001C2201" w:rsidRDefault="001C2201" w:rsidP="001C2201"/>
        </w:tc>
        <w:tc>
          <w:tcPr>
            <w:tcW w:w="2127" w:type="dxa"/>
            <w:vAlign w:val="center"/>
          </w:tcPr>
          <w:p w14:paraId="6E53A683" w14:textId="467F2DAB" w:rsidR="001C2201" w:rsidRDefault="001C2201" w:rsidP="001C2201"/>
        </w:tc>
        <w:tc>
          <w:tcPr>
            <w:tcW w:w="1791" w:type="dxa"/>
            <w:vAlign w:val="center"/>
          </w:tcPr>
          <w:p w14:paraId="1A27D126" w14:textId="24CF79C5" w:rsidR="001C2201" w:rsidRDefault="001C2201" w:rsidP="001C2201"/>
        </w:tc>
      </w:tr>
    </w:tbl>
    <w:p w14:paraId="244D6B21" w14:textId="04B742DA" w:rsidR="00D76EC7" w:rsidRPr="00D76EC7" w:rsidRDefault="00D76EC7" w:rsidP="00D76EC7"/>
    <w:p w14:paraId="5F8E09A7" w14:textId="77777777" w:rsidR="00D76EC7" w:rsidRPr="00D76EC7" w:rsidRDefault="00D76EC7" w:rsidP="00D76EC7">
      <w:pPr>
        <w:rPr>
          <w:b/>
          <w:bCs/>
        </w:rPr>
      </w:pPr>
      <w:r w:rsidRPr="00D76EC7">
        <w:rPr>
          <w:b/>
          <w:bCs/>
        </w:rPr>
        <w:t>Notes</w:t>
      </w:r>
    </w:p>
    <w:p w14:paraId="67153790" w14:textId="1FEF03DD" w:rsidR="00D76EC7" w:rsidRPr="00D76EC7" w:rsidRDefault="00D76EC7" w:rsidP="00D76EC7">
      <w:pPr>
        <w:numPr>
          <w:ilvl w:val="0"/>
          <w:numId w:val="1"/>
        </w:numPr>
      </w:pPr>
      <w:r w:rsidRPr="00D76EC7">
        <w:t>CIL receipts must be spent within 5 years of receipt.</w:t>
      </w:r>
      <w:r w:rsidRPr="00D76EC7">
        <w:rPr>
          <w:sz w:val="22"/>
          <w:szCs w:val="22"/>
        </w:rPr>
        <w:t xml:space="preserve"> </w:t>
      </w:r>
      <w:r>
        <w:t>A</w:t>
      </w:r>
      <w:r w:rsidRPr="00D76EC7">
        <w:t>ny unspent funds will need to be returned to W</w:t>
      </w:r>
      <w:r>
        <w:t xml:space="preserve">est Northamptonshire Council. </w:t>
      </w:r>
    </w:p>
    <w:p w14:paraId="34017EBB" w14:textId="77777777" w:rsidR="00D76EC7" w:rsidRDefault="00D76EC7" w:rsidP="00D76EC7">
      <w:pPr>
        <w:numPr>
          <w:ilvl w:val="0"/>
          <w:numId w:val="1"/>
        </w:numPr>
      </w:pPr>
      <w:r w:rsidRPr="00D76EC7">
        <w:t>CIL funds must be used to support the development of the area by funding infrastructure or anything else that is concerned with addressing the demands that development places on an area.</w:t>
      </w:r>
    </w:p>
    <w:p w14:paraId="4239E3DA" w14:textId="6BB399D6" w:rsidR="00D76EC7" w:rsidRDefault="00D76EC7" w:rsidP="008600C4">
      <w:pPr>
        <w:numPr>
          <w:ilvl w:val="0"/>
          <w:numId w:val="1"/>
        </w:numPr>
      </w:pPr>
      <w:r w:rsidRPr="00D76EC7">
        <w:t>For a</w:t>
      </w:r>
      <w:r w:rsidR="00B6450D">
        <w:t>dditional information please refer to the CIL Regs and/or NCALC.</w:t>
      </w:r>
    </w:p>
    <w:sectPr w:rsidR="00D76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A651D"/>
    <w:multiLevelType w:val="multilevel"/>
    <w:tmpl w:val="B224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62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C7"/>
    <w:rsid w:val="000D1607"/>
    <w:rsid w:val="00110768"/>
    <w:rsid w:val="00116ADD"/>
    <w:rsid w:val="001C2201"/>
    <w:rsid w:val="00295203"/>
    <w:rsid w:val="005168B7"/>
    <w:rsid w:val="00550FD4"/>
    <w:rsid w:val="005D7AB2"/>
    <w:rsid w:val="0063070E"/>
    <w:rsid w:val="00715470"/>
    <w:rsid w:val="00796EBF"/>
    <w:rsid w:val="007B5DEF"/>
    <w:rsid w:val="00A04F52"/>
    <w:rsid w:val="00B6450D"/>
    <w:rsid w:val="00B912BA"/>
    <w:rsid w:val="00CC3896"/>
    <w:rsid w:val="00D76EC7"/>
    <w:rsid w:val="00DB6A28"/>
    <w:rsid w:val="00E76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45CA"/>
  <w15:chartTrackingRefBased/>
  <w15:docId w15:val="{C35FAB4D-DF10-4C43-BC4E-6B432520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EC7"/>
    <w:rPr>
      <w:rFonts w:eastAsiaTheme="majorEastAsia" w:cstheme="majorBidi"/>
      <w:color w:val="272727" w:themeColor="text1" w:themeTint="D8"/>
    </w:rPr>
  </w:style>
  <w:style w:type="paragraph" w:styleId="Title">
    <w:name w:val="Title"/>
    <w:basedOn w:val="Normal"/>
    <w:next w:val="Normal"/>
    <w:link w:val="TitleChar"/>
    <w:uiPriority w:val="10"/>
    <w:qFormat/>
    <w:rsid w:val="00D76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EC7"/>
    <w:pPr>
      <w:spacing w:before="160"/>
      <w:jc w:val="center"/>
    </w:pPr>
    <w:rPr>
      <w:i/>
      <w:iCs/>
      <w:color w:val="404040" w:themeColor="text1" w:themeTint="BF"/>
    </w:rPr>
  </w:style>
  <w:style w:type="character" w:customStyle="1" w:styleId="QuoteChar">
    <w:name w:val="Quote Char"/>
    <w:basedOn w:val="DefaultParagraphFont"/>
    <w:link w:val="Quote"/>
    <w:uiPriority w:val="29"/>
    <w:rsid w:val="00D76EC7"/>
    <w:rPr>
      <w:i/>
      <w:iCs/>
      <w:color w:val="404040" w:themeColor="text1" w:themeTint="BF"/>
    </w:rPr>
  </w:style>
  <w:style w:type="paragraph" w:styleId="ListParagraph">
    <w:name w:val="List Paragraph"/>
    <w:basedOn w:val="Normal"/>
    <w:uiPriority w:val="34"/>
    <w:qFormat/>
    <w:rsid w:val="00D76EC7"/>
    <w:pPr>
      <w:ind w:left="720"/>
      <w:contextualSpacing/>
    </w:pPr>
  </w:style>
  <w:style w:type="character" w:styleId="IntenseEmphasis">
    <w:name w:val="Intense Emphasis"/>
    <w:basedOn w:val="DefaultParagraphFont"/>
    <w:uiPriority w:val="21"/>
    <w:qFormat/>
    <w:rsid w:val="00D76EC7"/>
    <w:rPr>
      <w:i/>
      <w:iCs/>
      <w:color w:val="0F4761" w:themeColor="accent1" w:themeShade="BF"/>
    </w:rPr>
  </w:style>
  <w:style w:type="paragraph" w:styleId="IntenseQuote">
    <w:name w:val="Intense Quote"/>
    <w:basedOn w:val="Normal"/>
    <w:next w:val="Normal"/>
    <w:link w:val="IntenseQuoteChar"/>
    <w:uiPriority w:val="30"/>
    <w:qFormat/>
    <w:rsid w:val="00D76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C7"/>
    <w:rPr>
      <w:i/>
      <w:iCs/>
      <w:color w:val="0F4761" w:themeColor="accent1" w:themeShade="BF"/>
    </w:rPr>
  </w:style>
  <w:style w:type="character" w:styleId="IntenseReference">
    <w:name w:val="Intense Reference"/>
    <w:basedOn w:val="DefaultParagraphFont"/>
    <w:uiPriority w:val="32"/>
    <w:qFormat/>
    <w:rsid w:val="00D76EC7"/>
    <w:rPr>
      <w:b/>
      <w:bCs/>
      <w:smallCaps/>
      <w:color w:val="0F4761" w:themeColor="accent1" w:themeShade="BF"/>
      <w:spacing w:val="5"/>
    </w:rPr>
  </w:style>
  <w:style w:type="table" w:styleId="TableGrid">
    <w:name w:val="Table Grid"/>
    <w:basedOn w:val="TableNormal"/>
    <w:uiPriority w:val="39"/>
    <w:rsid w:val="001C2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6196">
      <w:bodyDiv w:val="1"/>
      <w:marLeft w:val="0"/>
      <w:marRight w:val="0"/>
      <w:marTop w:val="0"/>
      <w:marBottom w:val="0"/>
      <w:divBdr>
        <w:top w:val="none" w:sz="0" w:space="0" w:color="auto"/>
        <w:left w:val="none" w:sz="0" w:space="0" w:color="auto"/>
        <w:bottom w:val="none" w:sz="0" w:space="0" w:color="auto"/>
        <w:right w:val="none" w:sz="0" w:space="0" w:color="auto"/>
      </w:divBdr>
      <w:divsChild>
        <w:div w:id="287519065">
          <w:marLeft w:val="0"/>
          <w:marRight w:val="0"/>
          <w:marTop w:val="0"/>
          <w:marBottom w:val="0"/>
          <w:divBdr>
            <w:top w:val="none" w:sz="0" w:space="0" w:color="auto"/>
            <w:left w:val="none" w:sz="0" w:space="0" w:color="auto"/>
            <w:bottom w:val="none" w:sz="0" w:space="0" w:color="auto"/>
            <w:right w:val="none" w:sz="0" w:space="0" w:color="auto"/>
          </w:divBdr>
          <w:divsChild>
            <w:div w:id="667441395">
              <w:marLeft w:val="0"/>
              <w:marRight w:val="0"/>
              <w:marTop w:val="0"/>
              <w:marBottom w:val="0"/>
              <w:divBdr>
                <w:top w:val="none" w:sz="0" w:space="0" w:color="auto"/>
                <w:left w:val="none" w:sz="0" w:space="0" w:color="auto"/>
                <w:bottom w:val="none" w:sz="0" w:space="0" w:color="auto"/>
                <w:right w:val="none" w:sz="0" w:space="0" w:color="auto"/>
              </w:divBdr>
            </w:div>
          </w:divsChild>
        </w:div>
        <w:div w:id="1758207605">
          <w:marLeft w:val="0"/>
          <w:marRight w:val="0"/>
          <w:marTop w:val="0"/>
          <w:marBottom w:val="0"/>
          <w:divBdr>
            <w:top w:val="none" w:sz="0" w:space="0" w:color="auto"/>
            <w:left w:val="none" w:sz="0" w:space="0" w:color="auto"/>
            <w:bottom w:val="none" w:sz="0" w:space="0" w:color="auto"/>
            <w:right w:val="none" w:sz="0" w:space="0" w:color="auto"/>
          </w:divBdr>
          <w:divsChild>
            <w:div w:id="18407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0543">
      <w:bodyDiv w:val="1"/>
      <w:marLeft w:val="0"/>
      <w:marRight w:val="0"/>
      <w:marTop w:val="0"/>
      <w:marBottom w:val="0"/>
      <w:divBdr>
        <w:top w:val="none" w:sz="0" w:space="0" w:color="auto"/>
        <w:left w:val="none" w:sz="0" w:space="0" w:color="auto"/>
        <w:bottom w:val="none" w:sz="0" w:space="0" w:color="auto"/>
        <w:right w:val="none" w:sz="0" w:space="0" w:color="auto"/>
      </w:divBdr>
      <w:divsChild>
        <w:div w:id="168253900">
          <w:marLeft w:val="0"/>
          <w:marRight w:val="0"/>
          <w:marTop w:val="0"/>
          <w:marBottom w:val="0"/>
          <w:divBdr>
            <w:top w:val="none" w:sz="0" w:space="0" w:color="auto"/>
            <w:left w:val="none" w:sz="0" w:space="0" w:color="auto"/>
            <w:bottom w:val="none" w:sz="0" w:space="0" w:color="auto"/>
            <w:right w:val="none" w:sz="0" w:space="0" w:color="auto"/>
          </w:divBdr>
          <w:divsChild>
            <w:div w:id="1241258313">
              <w:marLeft w:val="0"/>
              <w:marRight w:val="0"/>
              <w:marTop w:val="0"/>
              <w:marBottom w:val="0"/>
              <w:divBdr>
                <w:top w:val="none" w:sz="0" w:space="0" w:color="auto"/>
                <w:left w:val="none" w:sz="0" w:space="0" w:color="auto"/>
                <w:bottom w:val="none" w:sz="0" w:space="0" w:color="auto"/>
                <w:right w:val="none" w:sz="0" w:space="0" w:color="auto"/>
              </w:divBdr>
            </w:div>
          </w:divsChild>
        </w:div>
        <w:div w:id="1154220058">
          <w:marLeft w:val="0"/>
          <w:marRight w:val="0"/>
          <w:marTop w:val="0"/>
          <w:marBottom w:val="0"/>
          <w:divBdr>
            <w:top w:val="none" w:sz="0" w:space="0" w:color="auto"/>
            <w:left w:val="none" w:sz="0" w:space="0" w:color="auto"/>
            <w:bottom w:val="none" w:sz="0" w:space="0" w:color="auto"/>
            <w:right w:val="none" w:sz="0" w:space="0" w:color="auto"/>
          </w:divBdr>
          <w:divsChild>
            <w:div w:id="16110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Langley</dc:creator>
  <cp:keywords/>
  <dc:description/>
  <cp:lastModifiedBy>Yardley Gobion Clerk</cp:lastModifiedBy>
  <cp:revision>2</cp:revision>
  <dcterms:created xsi:type="dcterms:W3CDTF">2025-12-18T19:51:00Z</dcterms:created>
  <dcterms:modified xsi:type="dcterms:W3CDTF">2025-12-18T19:51:00Z</dcterms:modified>
</cp:coreProperties>
</file>